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8504"/>
      </w:tblGrid>
      <w:tr w:rsidR="009161A8" w:rsidRPr="009161A8" w14:paraId="2334BE47" w14:textId="77777777" w:rsidTr="009161A8">
        <w:trPr>
          <w:jc w:val="center"/>
        </w:trPr>
        <w:tc>
          <w:tcPr>
            <w:tcW w:w="5000" w:type="pct"/>
            <w:tcBorders>
              <w:top w:val="single" w:sz="24" w:space="0" w:color="DDDDDD"/>
              <w:left w:val="nil"/>
              <w:bottom w:val="nil"/>
              <w:right w:val="nil"/>
            </w:tcBorders>
            <w:shd w:val="clear" w:color="auto" w:fill="FAFAFA"/>
            <w:tcMar>
              <w:top w:w="150" w:type="dxa"/>
              <w:left w:w="300" w:type="dxa"/>
              <w:bottom w:w="300" w:type="dxa"/>
              <w:right w:w="300" w:type="dxa"/>
            </w:tcMar>
          </w:tcPr>
          <w:tbl>
            <w:tblPr>
              <w:tblW w:w="9000" w:type="dxa"/>
              <w:jc w:val="center"/>
              <w:tblCellMar>
                <w:left w:w="0" w:type="dxa"/>
                <w:right w:w="0" w:type="dxa"/>
              </w:tblCellMar>
              <w:tblLook w:val="04A0" w:firstRow="1" w:lastRow="0" w:firstColumn="1" w:lastColumn="0" w:noHBand="0" w:noVBand="1"/>
            </w:tblPr>
            <w:tblGrid>
              <w:gridCol w:w="9000"/>
            </w:tblGrid>
            <w:tr w:rsidR="009161A8" w14:paraId="5601424B" w14:textId="77777777">
              <w:trPr>
                <w:jc w:val="center"/>
              </w:trPr>
              <w:tc>
                <w:tcPr>
                  <w:tcW w:w="0" w:type="auto"/>
                  <w:vAlign w:val="center"/>
                  <w:hideMark/>
                </w:tcPr>
                <w:p w14:paraId="0EE082A9" w14:textId="77777777" w:rsidR="009161A8" w:rsidRDefault="009161A8"/>
              </w:tc>
            </w:tr>
          </w:tbl>
          <w:p w14:paraId="09591A3B" w14:textId="77777777" w:rsidR="009161A8" w:rsidRDefault="009161A8">
            <w:pPr>
              <w:jc w:val="center"/>
            </w:pPr>
          </w:p>
          <w:tbl>
            <w:tblPr>
              <w:tblW w:w="9000" w:type="dxa"/>
              <w:jc w:val="center"/>
              <w:tblCellMar>
                <w:left w:w="0" w:type="dxa"/>
                <w:right w:w="0" w:type="dxa"/>
              </w:tblCellMar>
              <w:tblLook w:val="04A0" w:firstRow="1" w:lastRow="0" w:firstColumn="1" w:lastColumn="0" w:noHBand="0" w:noVBand="1"/>
            </w:tblPr>
            <w:tblGrid>
              <w:gridCol w:w="9000"/>
            </w:tblGrid>
            <w:tr w:rsidR="009161A8" w14:paraId="03B9263E" w14:textId="77777777">
              <w:trPr>
                <w:jc w:val="center"/>
              </w:trPr>
              <w:tc>
                <w:tcPr>
                  <w:tcW w:w="0" w:type="auto"/>
                  <w:tcBorders>
                    <w:top w:val="single" w:sz="36" w:space="0" w:color="CC0000"/>
                    <w:left w:val="single" w:sz="8" w:space="0" w:color="DDDDDD"/>
                    <w:bottom w:val="nil"/>
                    <w:right w:val="single" w:sz="8" w:space="0" w:color="DDDDDD"/>
                  </w:tcBorders>
                  <w:shd w:val="clear" w:color="auto" w:fill="FFFFFF"/>
                  <w:hideMark/>
                </w:tcPr>
                <w:tbl>
                  <w:tblPr>
                    <w:tblpPr w:vertAnchor="text"/>
                    <w:tblW w:w="2250" w:type="dxa"/>
                    <w:shd w:val="clear" w:color="auto" w:fill="FFFFFF"/>
                    <w:tblCellMar>
                      <w:left w:w="0" w:type="dxa"/>
                      <w:right w:w="0" w:type="dxa"/>
                    </w:tblCellMar>
                    <w:tblLook w:val="04A0" w:firstRow="1" w:lastRow="0" w:firstColumn="1" w:lastColumn="0" w:noHBand="0" w:noVBand="1"/>
                  </w:tblPr>
                  <w:tblGrid>
                    <w:gridCol w:w="2850"/>
                  </w:tblGrid>
                  <w:tr w:rsidR="009161A8" w14:paraId="2958ABCF" w14:textId="77777777">
                    <w:tc>
                      <w:tcPr>
                        <w:tcW w:w="0" w:type="auto"/>
                        <w:shd w:val="clear" w:color="auto" w:fill="FFFFFF"/>
                        <w:tcMar>
                          <w:top w:w="150" w:type="dxa"/>
                          <w:left w:w="300" w:type="dxa"/>
                          <w:bottom w:w="150" w:type="dxa"/>
                          <w:right w:w="300" w:type="dxa"/>
                        </w:tcMar>
                        <w:hideMark/>
                      </w:tcPr>
                      <w:p w14:paraId="3A4FFAE3" w14:textId="6BC7ADAC" w:rsidR="009161A8" w:rsidRDefault="009161A8">
                        <w:pPr>
                          <w:rPr>
                            <w:rFonts w:hint="eastAsia"/>
                          </w:rPr>
                        </w:pPr>
                        <w:r>
                          <w:rPr>
                            <w:noProof/>
                            <w:color w:val="000000"/>
                          </w:rPr>
                          <w:drawing>
                            <wp:inline distT="0" distB="0" distL="0" distR="0" wp14:anchorId="354187CD" wp14:editId="1E4C2F84">
                              <wp:extent cx="1428115" cy="339090"/>
                              <wp:effectExtent l="0" t="0" r="635" b="3810"/>
                              <wp:docPr id="18821695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115" cy="339090"/>
                                      </a:xfrm>
                                      <a:prstGeom prst="rect">
                                        <a:avLst/>
                                      </a:prstGeom>
                                      <a:noFill/>
                                      <a:ln>
                                        <a:noFill/>
                                      </a:ln>
                                    </pic:spPr>
                                  </pic:pic>
                                </a:graphicData>
                              </a:graphic>
                            </wp:inline>
                          </w:drawing>
                        </w:r>
                      </w:p>
                    </w:tc>
                  </w:tr>
                </w:tbl>
                <w:tbl>
                  <w:tblPr>
                    <w:tblpPr w:vertAnchor="text" w:tblpXSpec="right" w:tblpYSpec="center"/>
                    <w:tblW w:w="6000" w:type="dxa"/>
                    <w:shd w:val="clear" w:color="auto" w:fill="FFFFFF"/>
                    <w:tblCellMar>
                      <w:left w:w="0" w:type="dxa"/>
                      <w:right w:w="0" w:type="dxa"/>
                    </w:tblCellMar>
                    <w:tblLook w:val="04A0" w:firstRow="1" w:lastRow="0" w:firstColumn="1" w:lastColumn="0" w:noHBand="0" w:noVBand="1"/>
                  </w:tblPr>
                  <w:tblGrid>
                    <w:gridCol w:w="6000"/>
                  </w:tblGrid>
                  <w:tr w:rsidR="009161A8" w14:paraId="7E51BEAC" w14:textId="77777777">
                    <w:trPr>
                      <w:trHeight w:val="750"/>
                    </w:trPr>
                    <w:tc>
                      <w:tcPr>
                        <w:tcW w:w="0" w:type="auto"/>
                        <w:shd w:val="clear" w:color="auto" w:fill="FFFFFF"/>
                        <w:tcMar>
                          <w:top w:w="150" w:type="dxa"/>
                          <w:left w:w="150" w:type="dxa"/>
                          <w:bottom w:w="150" w:type="dxa"/>
                          <w:right w:w="150" w:type="dxa"/>
                        </w:tcMar>
                        <w:vAlign w:val="center"/>
                        <w:hideMark/>
                      </w:tcPr>
                      <w:p w14:paraId="49C3F9C4" w14:textId="77777777" w:rsidR="009161A8" w:rsidRDefault="009161A8">
                        <w:pPr>
                          <w:spacing w:line="240" w:lineRule="atLeast"/>
                          <w:jc w:val="right"/>
                          <w:rPr>
                            <w:rFonts w:hint="eastAsia"/>
                            <w:b/>
                            <w:bCs/>
                            <w:color w:val="CC0000"/>
                          </w:rPr>
                        </w:pPr>
                        <w:r>
                          <w:rPr>
                            <w:rFonts w:hint="eastAsia"/>
                            <w:b/>
                            <w:bCs/>
                            <w:color w:val="CC0000"/>
                          </w:rPr>
                          <w:t> </w:t>
                        </w:r>
                      </w:p>
                    </w:tc>
                  </w:tr>
                </w:tbl>
                <w:p w14:paraId="210CD0F6" w14:textId="77777777" w:rsidR="009161A8" w:rsidRDefault="009161A8">
                  <w:pPr>
                    <w:rPr>
                      <w:rFonts w:ascii="Times New Roman" w:hAnsi="Times New Roman" w:cs="Times New Roman" w:hint="eastAsia"/>
                      <w:sz w:val="20"/>
                      <w:szCs w:val="20"/>
                    </w:rPr>
                  </w:pPr>
                </w:p>
              </w:tc>
            </w:tr>
            <w:tr w:rsidR="009161A8" w14:paraId="5A5C4F7B" w14:textId="77777777">
              <w:trPr>
                <w:jc w:val="center"/>
              </w:trPr>
              <w:tc>
                <w:tcPr>
                  <w:tcW w:w="0" w:type="auto"/>
                  <w:tcBorders>
                    <w:top w:val="nil"/>
                    <w:left w:val="single" w:sz="8" w:space="0" w:color="DDDDDD"/>
                    <w:bottom w:val="single" w:sz="8" w:space="0" w:color="DDDDDD"/>
                    <w:right w:val="single" w:sz="8" w:space="0" w:color="DDDDDD"/>
                  </w:tcBorders>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80"/>
                  </w:tblGrid>
                  <w:tr w:rsidR="009161A8" w14:paraId="2C649699" w14:textId="77777777">
                    <w:trPr>
                      <w:jc w:val="center"/>
                    </w:trPr>
                    <w:tc>
                      <w:tcPr>
                        <w:tcW w:w="0" w:type="auto"/>
                        <w:tcBorders>
                          <w:top w:val="single" w:sz="8" w:space="0" w:color="FFFFFF"/>
                          <w:left w:val="nil"/>
                          <w:bottom w:val="nil"/>
                          <w:right w:val="nil"/>
                        </w:tcBorders>
                        <w:shd w:val="clear" w:color="auto" w:fill="FFFFFF"/>
                        <w:tcMar>
                          <w:top w:w="150" w:type="dxa"/>
                          <w:left w:w="300" w:type="dxa"/>
                          <w:bottom w:w="75" w:type="dxa"/>
                          <w:right w:w="300" w:type="dxa"/>
                        </w:tcMar>
                        <w:hideMark/>
                      </w:tcPr>
                      <w:p w14:paraId="70FCC6D4" w14:textId="77777777" w:rsidR="009161A8" w:rsidRDefault="009161A8">
                        <w:pPr>
                          <w:spacing w:line="360" w:lineRule="atLeast"/>
                          <w:rPr>
                            <w:color w:val="505050"/>
                            <w:sz w:val="21"/>
                            <w:szCs w:val="21"/>
                          </w:rPr>
                        </w:pPr>
                        <w:r>
                          <w:rPr>
                            <w:rFonts w:hint="eastAsia"/>
                            <w:color w:val="505050"/>
                            <w:sz w:val="21"/>
                            <w:szCs w:val="21"/>
                          </w:rPr>
                          <w:t>【キヤノンS&amp;S】 オンラインセミナー事務局です。</w:t>
                        </w:r>
                        <w:r>
                          <w:rPr>
                            <w:rFonts w:hint="eastAsia"/>
                            <w:color w:val="505050"/>
                            <w:sz w:val="21"/>
                            <w:szCs w:val="21"/>
                          </w:rPr>
                          <w:br/>
                          <w:t>11月に配信するセミナー番組をご案内致します。</w:t>
                        </w:r>
                      </w:p>
                    </w:tc>
                  </w:tr>
                  <w:tr w:rsidR="009161A8" w14:paraId="44F118AA"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80"/>
                        </w:tblGrid>
                        <w:tr w:rsidR="009161A8" w14:paraId="4AEE797B" w14:textId="77777777">
                          <w:trPr>
                            <w:jc w:val="center"/>
                          </w:trPr>
                          <w:tc>
                            <w:tcPr>
                              <w:tcW w:w="0" w:type="auto"/>
                              <w:tcBorders>
                                <w:top w:val="nil"/>
                                <w:left w:val="nil"/>
                                <w:bottom w:val="single" w:sz="8" w:space="0" w:color="CCCCCC"/>
                                <w:right w:val="nil"/>
                              </w:tcBorders>
                              <w:shd w:val="clear" w:color="auto" w:fill="CC0000"/>
                              <w:tcMar>
                                <w:top w:w="75" w:type="dxa"/>
                                <w:left w:w="150" w:type="dxa"/>
                                <w:bottom w:w="75" w:type="dxa"/>
                                <w:right w:w="150" w:type="dxa"/>
                              </w:tcMar>
                              <w:vAlign w:val="center"/>
                              <w:hideMark/>
                            </w:tcPr>
                            <w:p w14:paraId="29F22E7F" w14:textId="77777777" w:rsidR="009161A8" w:rsidRDefault="009161A8">
                              <w:pPr>
                                <w:pStyle w:val="1"/>
                                <w:shd w:val="clear" w:color="auto" w:fill="CC0000"/>
                                <w:spacing w:before="0" w:beforeAutospacing="0" w:after="0" w:afterAutospacing="0" w:line="270" w:lineRule="atLeast"/>
                                <w:jc w:val="center"/>
                                <w:rPr>
                                  <w:rFonts w:hint="eastAsia"/>
                                  <w:color w:val="FFFFFF"/>
                                  <w:sz w:val="27"/>
                                  <w:szCs w:val="27"/>
                                </w:rPr>
                              </w:pPr>
                              <w:r>
                                <w:rPr>
                                  <w:rStyle w:val="a4"/>
                                  <w:rFonts w:hint="eastAsia"/>
                                  <w:b/>
                                  <w:bCs/>
                                  <w:color w:val="FFFFFF"/>
                                  <w:sz w:val="27"/>
                                  <w:szCs w:val="27"/>
                                </w:rPr>
                                <w:t>11月　オンラインセミナー番組表</w:t>
                              </w:r>
                            </w:p>
                          </w:tc>
                        </w:tr>
                      </w:tbl>
                      <w:p w14:paraId="39B73821" w14:textId="77777777" w:rsidR="009161A8" w:rsidRDefault="009161A8">
                        <w:pPr>
                          <w:jc w:val="center"/>
                          <w:rPr>
                            <w:rFonts w:ascii="Times New Roman" w:hAnsi="Times New Roman" w:cs="Times New Roman" w:hint="eastAsia"/>
                            <w:sz w:val="20"/>
                            <w:szCs w:val="20"/>
                          </w:rPr>
                        </w:pPr>
                      </w:p>
                    </w:tc>
                  </w:tr>
                  <w:tr w:rsidR="009161A8" w14:paraId="3C32E95C"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80"/>
                        </w:tblGrid>
                        <w:tr w:rsidR="009161A8" w14:paraId="0A344DE7" w14:textId="77777777">
                          <w:trPr>
                            <w:jc w:val="center"/>
                          </w:trPr>
                          <w:tc>
                            <w:tcPr>
                              <w:tcW w:w="0" w:type="auto"/>
                              <w:tcBorders>
                                <w:top w:val="single" w:sz="8" w:space="0" w:color="FFFFFF"/>
                                <w:left w:val="nil"/>
                                <w:bottom w:val="nil"/>
                                <w:right w:val="nil"/>
                              </w:tcBorders>
                              <w:shd w:val="clear" w:color="auto" w:fill="FFFFFF"/>
                              <w:tcMar>
                                <w:top w:w="150" w:type="dxa"/>
                                <w:left w:w="300" w:type="dxa"/>
                                <w:bottom w:w="75" w:type="dxa"/>
                                <w:right w:w="300" w:type="dxa"/>
                              </w:tcMar>
                              <w:hideMark/>
                            </w:tcPr>
                            <w:p w14:paraId="704C00F4" w14:textId="77777777" w:rsidR="009161A8" w:rsidRDefault="009161A8">
                              <w:pPr>
                                <w:spacing w:line="360" w:lineRule="atLeast"/>
                                <w:rPr>
                                  <w:color w:val="505050"/>
                                  <w:sz w:val="21"/>
                                  <w:szCs w:val="21"/>
                                </w:rPr>
                              </w:pPr>
                              <w:r>
                                <w:rPr>
                                  <w:rFonts w:hint="eastAsia"/>
                                  <w:color w:val="505050"/>
                                  <w:sz w:val="21"/>
                                  <w:szCs w:val="21"/>
                                </w:rPr>
                                <w:t>※各セミナーページにアクセスできない場合、【詳細ページ】以下のURLをブラウザにコピー＆ペーストしてご覧ください。</w:t>
                              </w:r>
                              <w:r>
                                <w:rPr>
                                  <w:rFonts w:hint="eastAsia"/>
                                  <w:color w:val="505050"/>
                                  <w:sz w:val="21"/>
                                  <w:szCs w:val="21"/>
                                </w:rPr>
                                <w:br/>
                              </w:r>
                              <w:r>
                                <w:rPr>
                                  <w:rFonts w:hint="eastAsia"/>
                                  <w:color w:val="505050"/>
                                  <w:sz w:val="21"/>
                                  <w:szCs w:val="21"/>
                                </w:rPr>
                                <w:br/>
                              </w:r>
                              <w:hyperlink r:id="rId5" w:history="1">
                                <w:r>
                                  <w:rPr>
                                    <w:rStyle w:val="a3"/>
                                    <w:rFonts w:hint="eastAsia"/>
                                    <w:sz w:val="21"/>
                                    <w:szCs w:val="21"/>
                                  </w:rPr>
                                  <w:t>◆セミナー番組表一覧◆</w:t>
                                </w:r>
                              </w:hyperlink>
                              <w:r>
                                <w:rPr>
                                  <w:rFonts w:hint="eastAsia"/>
                                  <w:color w:val="505050"/>
                                  <w:sz w:val="21"/>
                                  <w:szCs w:val="21"/>
                                </w:rPr>
                                <w:br/>
                                <w:t>【詳細ページ】canon.jp/business/solution/</w:t>
                              </w:r>
                              <w:proofErr w:type="spellStart"/>
                              <w:r>
                                <w:rPr>
                                  <w:rFonts w:hint="eastAsia"/>
                                  <w:color w:val="505050"/>
                                  <w:sz w:val="21"/>
                                  <w:szCs w:val="21"/>
                                </w:rPr>
                                <w:t>smb</w:t>
                              </w:r>
                              <w:proofErr w:type="spellEnd"/>
                              <w:r>
                                <w:rPr>
                                  <w:rFonts w:hint="eastAsia"/>
                                  <w:color w:val="505050"/>
                                  <w:sz w:val="21"/>
                                  <w:szCs w:val="21"/>
                                </w:rPr>
                                <w:t>/event</w:t>
                              </w:r>
                              <w:r>
                                <w:rPr>
                                  <w:rFonts w:hint="eastAsia"/>
                                  <w:color w:val="505050"/>
                                  <w:sz w:val="21"/>
                                  <w:szCs w:val="21"/>
                                </w:rPr>
                                <w:br/>
                                <w:t xml:space="preserve">※事前申込（定員）制になります。 </w:t>
                              </w:r>
                            </w:p>
                            <w:p w14:paraId="2ECD909F"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2E03A52E">
                                  <v:rect id="_x0000_i1026" style="width:441.9pt;height:1.5pt" o:hralign="center" o:hrstd="t" o:hr="t" fillcolor="#a0a0a0" stroked="f">
                                    <v:textbox inset="5.85pt,.7pt,5.85pt,.7pt"/>
                                  </v:rect>
                                </w:pict>
                              </w:r>
                            </w:p>
                            <w:p w14:paraId="1F31E088" w14:textId="77777777" w:rsidR="009161A8" w:rsidRDefault="009161A8">
                              <w:pPr>
                                <w:spacing w:line="360" w:lineRule="atLeast"/>
                                <w:rPr>
                                  <w:rFonts w:hint="eastAsia"/>
                                  <w:color w:val="505050"/>
                                  <w:sz w:val="21"/>
                                  <w:szCs w:val="21"/>
                                </w:rPr>
                              </w:pPr>
                              <w:r>
                                <w:rPr>
                                  <w:rStyle w:val="a4"/>
                                  <w:rFonts w:hint="eastAsia"/>
                                  <w:color w:val="505050"/>
                                  <w:sz w:val="21"/>
                                  <w:szCs w:val="21"/>
                                </w:rPr>
                                <w:t>◆ 「自動音声応答」 が業務を救う！業種別で見る電話業務の効率化と最新の活用事例 （管理部門向け、営業・販促部門向け）</w:t>
                              </w:r>
                              <w:r>
                                <w:rPr>
                                  <w:rFonts w:hint="eastAsia"/>
                                  <w:color w:val="505050"/>
                                  <w:sz w:val="21"/>
                                  <w:szCs w:val="21"/>
                                </w:rPr>
                                <w:br/>
                                <w:t>・日程：11月8日 (水) 15:00～15:45　(締切 11月6日 (月) 13:00)</w:t>
                              </w:r>
                              <w:r>
                                <w:rPr>
                                  <w:rFonts w:hint="eastAsia"/>
                                  <w:color w:val="505050"/>
                                  <w:sz w:val="21"/>
                                  <w:szCs w:val="21"/>
                                </w:rPr>
                                <w:br/>
                                <w:t>・講師：株式会社インターコム</w:t>
                              </w:r>
                              <w:r>
                                <w:rPr>
                                  <w:rFonts w:hint="eastAsia"/>
                                  <w:color w:val="505050"/>
                                  <w:sz w:val="21"/>
                                  <w:szCs w:val="21"/>
                                </w:rPr>
                                <w:br/>
                              </w:r>
                              <w:hyperlink r:id="rId6" w:history="1">
                                <w:r>
                                  <w:rPr>
                                    <w:rStyle w:val="a3"/>
                                    <w:rFonts w:hint="eastAsia"/>
                                    <w:sz w:val="21"/>
                                    <w:szCs w:val="21"/>
                                  </w:rPr>
                                  <w:t>◆詳細はこちら◆</w:t>
                                </w:r>
                              </w:hyperlink>
                              <w:r>
                                <w:rPr>
                                  <w:rFonts w:hint="eastAsia"/>
                                  <w:color w:val="505050"/>
                                  <w:sz w:val="21"/>
                                  <w:szCs w:val="21"/>
                                </w:rPr>
                                <w:br/>
                                <w:t>【詳細ページ】​​​go.pardot.com/l/71212/2023-09-21/</w:t>
                              </w:r>
                              <w:proofErr w:type="spellStart"/>
                              <w:r>
                                <w:rPr>
                                  <w:rFonts w:hint="eastAsia"/>
                                  <w:color w:val="505050"/>
                                  <w:sz w:val="21"/>
                                  <w:szCs w:val="21"/>
                                </w:rPr>
                                <w:t>cdmqvg</w:t>
                              </w:r>
                              <w:proofErr w:type="spellEnd"/>
                              <w:r>
                                <w:rPr>
                                  <w:rFonts w:hint="eastAsia"/>
                                  <w:color w:val="505050"/>
                                  <w:sz w:val="21"/>
                                  <w:szCs w:val="21"/>
                                </w:rPr>
                                <w:t xml:space="preserve"> </w:t>
                              </w:r>
                            </w:p>
                            <w:p w14:paraId="577F80CB"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5CE4AA27">
                                  <v:rect id="_x0000_i1027" style="width:441.9pt;height:1.5pt" o:hralign="center" o:hrstd="t" o:hr="t" fillcolor="#a0a0a0" stroked="f">
                                    <v:textbox inset="5.85pt,.7pt,5.85pt,.7pt"/>
                                  </v:rect>
                                </w:pict>
                              </w:r>
                            </w:p>
                            <w:p w14:paraId="517CDF36" w14:textId="77777777" w:rsidR="009161A8" w:rsidRDefault="009161A8">
                              <w:pPr>
                                <w:spacing w:line="360" w:lineRule="atLeast"/>
                                <w:rPr>
                                  <w:rFonts w:hint="eastAsia"/>
                                  <w:color w:val="505050"/>
                                  <w:sz w:val="21"/>
                                  <w:szCs w:val="21"/>
                                </w:rPr>
                              </w:pPr>
                              <w:r>
                                <w:rPr>
                                  <w:rStyle w:val="a4"/>
                                  <w:rFonts w:hint="eastAsia"/>
                                  <w:color w:val="505050"/>
                                  <w:sz w:val="21"/>
                                  <w:szCs w:val="21"/>
                                </w:rPr>
                                <w:t>◆ 今、取り組むべき電帳法対応の具体策 ～法対応だけで終わらずに業務改善を実現する方法～ （管理部門向け）</w:t>
                              </w:r>
                              <w:r>
                                <w:rPr>
                                  <w:rFonts w:hint="eastAsia"/>
                                  <w:color w:val="505050"/>
                                  <w:sz w:val="21"/>
                                  <w:szCs w:val="21"/>
                                </w:rPr>
                                <w:br/>
                                <w:t>・日程：11月13日 (月) 15:00～16:00　(締切 11月9日 (木) 13:00)</w:t>
                              </w:r>
                              <w:r>
                                <w:rPr>
                                  <w:rFonts w:hint="eastAsia"/>
                                  <w:color w:val="505050"/>
                                  <w:sz w:val="21"/>
                                  <w:szCs w:val="21"/>
                                </w:rPr>
                                <w:br/>
                                <w:t>・講師：株式会社NIコンサルティング</w:t>
                              </w:r>
                              <w:r>
                                <w:rPr>
                                  <w:rFonts w:hint="eastAsia"/>
                                  <w:color w:val="505050"/>
                                  <w:sz w:val="21"/>
                                  <w:szCs w:val="21"/>
                                </w:rPr>
                                <w:br/>
                              </w:r>
                              <w:hyperlink r:id="rId7" w:history="1">
                                <w:r>
                                  <w:rPr>
                                    <w:rStyle w:val="a3"/>
                                    <w:rFonts w:hint="eastAsia"/>
                                    <w:sz w:val="21"/>
                                    <w:szCs w:val="21"/>
                                  </w:rPr>
                                  <w:t>◆詳細はこちら◆</w:t>
                                </w:r>
                              </w:hyperlink>
                              <w:r>
                                <w:rPr>
                                  <w:rFonts w:hint="eastAsia"/>
                                  <w:color w:val="505050"/>
                                  <w:sz w:val="21"/>
                                  <w:szCs w:val="21"/>
                                </w:rPr>
                                <w:br/>
                                <w:t>【詳細ページ】​​​go.pardot.com/l/71212/2023-09-21/</w:t>
                              </w:r>
                              <w:proofErr w:type="spellStart"/>
                              <w:r>
                                <w:rPr>
                                  <w:rFonts w:hint="eastAsia"/>
                                  <w:color w:val="505050"/>
                                  <w:sz w:val="21"/>
                                  <w:szCs w:val="21"/>
                                </w:rPr>
                                <w:t>cdmqvy</w:t>
                              </w:r>
                              <w:proofErr w:type="spellEnd"/>
                              <w:r>
                                <w:rPr>
                                  <w:rFonts w:hint="eastAsia"/>
                                  <w:color w:val="505050"/>
                                  <w:sz w:val="21"/>
                                  <w:szCs w:val="21"/>
                                </w:rPr>
                                <w:t xml:space="preserve"> </w:t>
                              </w:r>
                            </w:p>
                            <w:p w14:paraId="3E8BF0EF"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4B608F35">
                                  <v:rect id="_x0000_i1028" style="width:441.9pt;height:1.5pt" o:hralign="center" o:hrstd="t" o:hr="t" fillcolor="#a0a0a0" stroked="f">
                                    <v:textbox inset="5.85pt,.7pt,5.85pt,.7pt"/>
                                  </v:rect>
                                </w:pict>
                              </w:r>
                            </w:p>
                            <w:p w14:paraId="19A6E442" w14:textId="77777777" w:rsidR="009161A8" w:rsidRDefault="009161A8">
                              <w:pPr>
                                <w:spacing w:line="360" w:lineRule="atLeast"/>
                                <w:rPr>
                                  <w:rFonts w:hint="eastAsia"/>
                                  <w:color w:val="505050"/>
                                  <w:sz w:val="21"/>
                                  <w:szCs w:val="21"/>
                                </w:rPr>
                              </w:pPr>
                              <w:r>
                                <w:rPr>
                                  <w:rStyle w:val="a4"/>
                                  <w:rFonts w:hint="eastAsia"/>
                                  <w:color w:val="505050"/>
                                  <w:sz w:val="21"/>
                                  <w:szCs w:val="21"/>
                                </w:rPr>
                                <w:t>◆ サイバーセキュリティ上のぜい弱性の診断と自動的な修正対応を可能にしたEDR/XDRソリューションとは？ （情報システム部門向け）</w:t>
                              </w:r>
                              <w:r>
                                <w:rPr>
                                  <w:rFonts w:hint="eastAsia"/>
                                  <w:color w:val="505050"/>
                                  <w:sz w:val="21"/>
                                  <w:szCs w:val="21"/>
                                </w:rPr>
                                <w:br/>
                                <w:t>・日程：11月14日 (火) 15:00～15:45　(締切 11月10日 (金) 13:00)</w:t>
                              </w:r>
                              <w:r>
                                <w:rPr>
                                  <w:rFonts w:hint="eastAsia"/>
                                  <w:color w:val="505050"/>
                                  <w:sz w:val="21"/>
                                  <w:szCs w:val="21"/>
                                </w:rPr>
                                <w:br/>
                                <w:t>・講師：キヤノンマーケティングジャパン株式会社</w:t>
                              </w:r>
                              <w:r>
                                <w:rPr>
                                  <w:rFonts w:hint="eastAsia"/>
                                  <w:color w:val="505050"/>
                                  <w:sz w:val="21"/>
                                  <w:szCs w:val="21"/>
                                </w:rPr>
                                <w:br/>
                              </w:r>
                              <w:hyperlink r:id="rId8" w:history="1">
                                <w:r>
                                  <w:rPr>
                                    <w:rStyle w:val="a3"/>
                                    <w:rFonts w:hint="eastAsia"/>
                                    <w:sz w:val="21"/>
                                    <w:szCs w:val="21"/>
                                  </w:rPr>
                                  <w:t>◆詳細はこちら◆</w:t>
                                </w:r>
                              </w:hyperlink>
                              <w:r>
                                <w:rPr>
                                  <w:rFonts w:hint="eastAsia"/>
                                  <w:color w:val="505050"/>
                                  <w:sz w:val="21"/>
                                  <w:szCs w:val="21"/>
                                </w:rPr>
                                <w:br/>
                                <w:t xml:space="preserve">【詳細ページ】​​​go.pardot.com/l/71212/2023-09-21/cdmqw5 </w:t>
                              </w:r>
                            </w:p>
                            <w:p w14:paraId="328F6CE1"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5262B374">
                                  <v:rect id="_x0000_i1029" style="width:441.9pt;height:1.5pt" o:hralign="center" o:hrstd="t" o:hr="t" fillcolor="#a0a0a0" stroked="f">
                                    <v:textbox inset="5.85pt,.7pt,5.85pt,.7pt"/>
                                  </v:rect>
                                </w:pict>
                              </w:r>
                            </w:p>
                            <w:p w14:paraId="4350B05B" w14:textId="77777777" w:rsidR="009161A8" w:rsidRDefault="009161A8">
                              <w:pPr>
                                <w:spacing w:line="360" w:lineRule="atLeast"/>
                                <w:rPr>
                                  <w:rFonts w:hint="eastAsia"/>
                                  <w:color w:val="505050"/>
                                  <w:sz w:val="21"/>
                                  <w:szCs w:val="21"/>
                                </w:rPr>
                              </w:pPr>
                              <w:r>
                                <w:rPr>
                                  <w:rStyle w:val="a4"/>
                                  <w:rFonts w:hint="eastAsia"/>
                                  <w:color w:val="505050"/>
                                  <w:sz w:val="21"/>
                                  <w:szCs w:val="21"/>
                                </w:rPr>
                                <w:t>◆ 貴社のデータ、ちゃんと守り切れていますか？ （情報システム部門向け）</w:t>
                              </w:r>
                              <w:r>
                                <w:rPr>
                                  <w:rFonts w:hint="eastAsia"/>
                                  <w:color w:val="505050"/>
                                  <w:sz w:val="21"/>
                                  <w:szCs w:val="21"/>
                                </w:rPr>
                                <w:br/>
                                <w:t>・日程：11月16日 (木) 15:00～15:35　(締切 11月14日 (火) 13:00)</w:t>
                              </w:r>
                              <w:r>
                                <w:rPr>
                                  <w:rFonts w:hint="eastAsia"/>
                                  <w:color w:val="505050"/>
                                  <w:sz w:val="21"/>
                                  <w:szCs w:val="21"/>
                                </w:rPr>
                                <w:br/>
                                <w:t>・講師：株式会社アイ・オー・データ機器</w:t>
                              </w:r>
                              <w:r>
                                <w:rPr>
                                  <w:rFonts w:hint="eastAsia"/>
                                  <w:color w:val="505050"/>
                                  <w:sz w:val="21"/>
                                  <w:szCs w:val="21"/>
                                </w:rPr>
                                <w:br/>
                              </w:r>
                              <w:hyperlink r:id="rId9" w:history="1">
                                <w:r>
                                  <w:rPr>
                                    <w:rStyle w:val="a3"/>
                                    <w:rFonts w:hint="eastAsia"/>
                                    <w:sz w:val="21"/>
                                    <w:szCs w:val="21"/>
                                  </w:rPr>
                                  <w:t>◆詳細はこちら◆</w:t>
                                </w:r>
                              </w:hyperlink>
                              <w:r>
                                <w:rPr>
                                  <w:rFonts w:hint="eastAsia"/>
                                  <w:color w:val="505050"/>
                                  <w:sz w:val="21"/>
                                  <w:szCs w:val="21"/>
                                </w:rPr>
                                <w:br/>
                                <w:t xml:space="preserve">【詳細ページ】​​​go.pardot.com/l/71212/2023-09-21/cdmqw8 </w:t>
                              </w:r>
                            </w:p>
                            <w:p w14:paraId="098A6AE1"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2F8B42C2">
                                  <v:rect id="_x0000_i1030" style="width:441.9pt;height:1.5pt" o:hralign="center" o:hrstd="t" o:hr="t" fillcolor="#a0a0a0" stroked="f">
                                    <v:textbox inset="5.85pt,.7pt,5.85pt,.7pt"/>
                                  </v:rect>
                                </w:pict>
                              </w:r>
                            </w:p>
                            <w:p w14:paraId="1E32E8B9" w14:textId="77777777" w:rsidR="009161A8" w:rsidRDefault="009161A8">
                              <w:pPr>
                                <w:spacing w:line="360" w:lineRule="atLeast"/>
                                <w:rPr>
                                  <w:rFonts w:hint="eastAsia"/>
                                  <w:color w:val="505050"/>
                                  <w:sz w:val="21"/>
                                  <w:szCs w:val="21"/>
                                </w:rPr>
                              </w:pPr>
                              <w:r>
                                <w:rPr>
                                  <w:rStyle w:val="a4"/>
                                  <w:rFonts w:hint="eastAsia"/>
                                  <w:color w:val="505050"/>
                                  <w:sz w:val="21"/>
                                  <w:szCs w:val="21"/>
                                </w:rPr>
                                <w:t>◆  サプライチェーンの一員としての情報セキュリティ対策 （情報システム部門向け）</w:t>
                              </w:r>
                              <w:r>
                                <w:rPr>
                                  <w:rFonts w:hint="eastAsia"/>
                                  <w:color w:val="505050"/>
                                  <w:sz w:val="21"/>
                                  <w:szCs w:val="21"/>
                                </w:rPr>
                                <w:br/>
                                <w:t>・日程：11月17日 (金) 15:00～15:45　(締切 11月15日 (水) 13:00)</w:t>
                              </w:r>
                              <w:r>
                                <w:rPr>
                                  <w:rFonts w:hint="eastAsia"/>
                                  <w:color w:val="505050"/>
                                  <w:sz w:val="21"/>
                                  <w:szCs w:val="21"/>
                                </w:rPr>
                                <w:br/>
                                <w:t>・講師：キヤノンシステムアンドサポート株式会社</w:t>
                              </w:r>
                              <w:r>
                                <w:rPr>
                                  <w:rFonts w:hint="eastAsia"/>
                                  <w:color w:val="505050"/>
                                  <w:sz w:val="21"/>
                                  <w:szCs w:val="21"/>
                                </w:rPr>
                                <w:br/>
                              </w:r>
                              <w:hyperlink r:id="rId10" w:history="1">
                                <w:r>
                                  <w:rPr>
                                    <w:rStyle w:val="a3"/>
                                    <w:rFonts w:hint="eastAsia"/>
                                    <w:sz w:val="21"/>
                                    <w:szCs w:val="21"/>
                                  </w:rPr>
                                  <w:t>◆詳細はこちら◆</w:t>
                                </w:r>
                              </w:hyperlink>
                              <w:r>
                                <w:rPr>
                                  <w:rFonts w:hint="eastAsia"/>
                                  <w:color w:val="505050"/>
                                  <w:sz w:val="21"/>
                                  <w:szCs w:val="21"/>
                                </w:rPr>
                                <w:br/>
                                <w:t>【詳細ページ】​​​go.pardot.com/l/71212/2023-09-21/</w:t>
                              </w:r>
                              <w:proofErr w:type="spellStart"/>
                              <w:r>
                                <w:rPr>
                                  <w:rFonts w:hint="eastAsia"/>
                                  <w:color w:val="505050"/>
                                  <w:sz w:val="21"/>
                                  <w:szCs w:val="21"/>
                                </w:rPr>
                                <w:t>cdmqwc</w:t>
                              </w:r>
                              <w:proofErr w:type="spellEnd"/>
                              <w:r>
                                <w:rPr>
                                  <w:rFonts w:hint="eastAsia"/>
                                  <w:color w:val="505050"/>
                                  <w:sz w:val="21"/>
                                  <w:szCs w:val="21"/>
                                </w:rPr>
                                <w:t xml:space="preserve"> </w:t>
                              </w:r>
                            </w:p>
                            <w:p w14:paraId="2216B06A"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0C8CC93F">
                                  <v:rect id="_x0000_i1031" style="width:441.9pt;height:1.5pt" o:hralign="center" o:hrstd="t" o:hr="t" fillcolor="#a0a0a0" stroked="f">
                                    <v:textbox inset="5.85pt,.7pt,5.85pt,.7pt"/>
                                  </v:rect>
                                </w:pict>
                              </w:r>
                            </w:p>
                            <w:p w14:paraId="5B7A969E" w14:textId="77777777" w:rsidR="009161A8" w:rsidRDefault="009161A8">
                              <w:pPr>
                                <w:spacing w:line="360" w:lineRule="atLeast"/>
                                <w:rPr>
                                  <w:rFonts w:hint="eastAsia"/>
                                  <w:color w:val="505050"/>
                                  <w:sz w:val="21"/>
                                  <w:szCs w:val="21"/>
                                </w:rPr>
                              </w:pPr>
                              <w:r>
                                <w:rPr>
                                  <w:rStyle w:val="a4"/>
                                  <w:rFonts w:hint="eastAsia"/>
                                  <w:color w:val="505050"/>
                                  <w:sz w:val="21"/>
                                  <w:szCs w:val="21"/>
                                </w:rPr>
                                <w:t>◆ Microsoft 365とAI活用による業務改善・DX事例紹介 ハンズオンセミナー （情報システム部門向け）</w:t>
                              </w:r>
                              <w:r>
                                <w:rPr>
                                  <w:rFonts w:hint="eastAsia"/>
                                  <w:color w:val="505050"/>
                                  <w:sz w:val="21"/>
                                  <w:szCs w:val="21"/>
                                </w:rPr>
                                <w:br/>
                                <w:t>・日程：11月20日 (月) 15:00～16:00　(締切 11月16日 (木) 13:00)</w:t>
                              </w:r>
                              <w:r>
                                <w:rPr>
                                  <w:rFonts w:hint="eastAsia"/>
                                  <w:color w:val="505050"/>
                                  <w:sz w:val="21"/>
                                  <w:szCs w:val="21"/>
                                </w:rPr>
                                <w:br/>
                                <w:t>・講師：株式会社ソフィア</w:t>
                              </w:r>
                              <w:r>
                                <w:rPr>
                                  <w:rFonts w:hint="eastAsia"/>
                                  <w:color w:val="505050"/>
                                  <w:sz w:val="21"/>
                                  <w:szCs w:val="21"/>
                                </w:rPr>
                                <w:br/>
                              </w:r>
                              <w:hyperlink r:id="rId11" w:history="1">
                                <w:r>
                                  <w:rPr>
                                    <w:rStyle w:val="a3"/>
                                    <w:rFonts w:hint="eastAsia"/>
                                    <w:sz w:val="21"/>
                                    <w:szCs w:val="21"/>
                                  </w:rPr>
                                  <w:t>◆詳細はこちら◆</w:t>
                                </w:r>
                              </w:hyperlink>
                              <w:r>
                                <w:rPr>
                                  <w:rFonts w:hint="eastAsia"/>
                                  <w:color w:val="505050"/>
                                  <w:sz w:val="21"/>
                                  <w:szCs w:val="21"/>
                                </w:rPr>
                                <w:br/>
                                <w:t>【詳細ページ】go.pardot.com/l/71212/2023-09-21/</w:t>
                              </w:r>
                              <w:proofErr w:type="spellStart"/>
                              <w:r>
                                <w:rPr>
                                  <w:rFonts w:hint="eastAsia"/>
                                  <w:color w:val="505050"/>
                                  <w:sz w:val="21"/>
                                  <w:szCs w:val="21"/>
                                </w:rPr>
                                <w:t>cdmqwg</w:t>
                              </w:r>
                              <w:proofErr w:type="spellEnd"/>
                              <w:r>
                                <w:rPr>
                                  <w:rFonts w:hint="eastAsia"/>
                                  <w:color w:val="505050"/>
                                  <w:sz w:val="21"/>
                                  <w:szCs w:val="21"/>
                                </w:rPr>
                                <w:t xml:space="preserve"> </w:t>
                              </w:r>
                            </w:p>
                            <w:p w14:paraId="08F10983"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10113548">
                                  <v:rect id="_x0000_i1032" style="width:441.9pt;height:1.5pt" o:hralign="center" o:hrstd="t" o:hr="t" fillcolor="#a0a0a0" stroked="f">
                                    <v:textbox inset="5.85pt,.7pt,5.85pt,.7pt"/>
                                  </v:rect>
                                </w:pict>
                              </w:r>
                            </w:p>
                            <w:p w14:paraId="22069F76" w14:textId="77777777" w:rsidR="009161A8" w:rsidRDefault="009161A8">
                              <w:pPr>
                                <w:spacing w:line="360" w:lineRule="atLeast"/>
                                <w:rPr>
                                  <w:rFonts w:hint="eastAsia"/>
                                  <w:color w:val="505050"/>
                                  <w:sz w:val="21"/>
                                  <w:szCs w:val="21"/>
                                </w:rPr>
                              </w:pPr>
                              <w:r>
                                <w:rPr>
                                  <w:rStyle w:val="a4"/>
                                  <w:rFonts w:hint="eastAsia"/>
                                  <w:color w:val="505050"/>
                                  <w:sz w:val="21"/>
                                  <w:szCs w:val="21"/>
                                </w:rPr>
                                <w:t>◆ 経営層向けセミナー 情報セキュリティ意識を高める従業員教育のポイント （経営層向け）</w:t>
                              </w:r>
                              <w:r>
                                <w:rPr>
                                  <w:rFonts w:hint="eastAsia"/>
                                  <w:color w:val="505050"/>
                                  <w:sz w:val="21"/>
                                  <w:szCs w:val="21"/>
                                </w:rPr>
                                <w:br/>
                                <w:t>・日程：11月21日 (火) 15:00～15:45　(締切 11月17日 (金) 13:00)</w:t>
                              </w:r>
                              <w:r>
                                <w:rPr>
                                  <w:rFonts w:hint="eastAsia"/>
                                  <w:color w:val="505050"/>
                                  <w:sz w:val="21"/>
                                  <w:szCs w:val="21"/>
                                </w:rPr>
                                <w:br/>
                                <w:t>・講師：ハイテクノロジーコミュニケーションズ株式会社（HTC） / 開東（かいとう）社会保険労務事務所</w:t>
                              </w:r>
                              <w:r>
                                <w:rPr>
                                  <w:rFonts w:hint="eastAsia"/>
                                  <w:color w:val="505050"/>
                                  <w:sz w:val="21"/>
                                  <w:szCs w:val="21"/>
                                </w:rPr>
                                <w:br/>
                              </w:r>
                              <w:hyperlink r:id="rId12" w:history="1">
                                <w:r>
                                  <w:rPr>
                                    <w:rStyle w:val="a3"/>
                                    <w:rFonts w:hint="eastAsia"/>
                                    <w:sz w:val="21"/>
                                    <w:szCs w:val="21"/>
                                  </w:rPr>
                                  <w:t>◆詳細はこちら◆</w:t>
                                </w:r>
                              </w:hyperlink>
                              <w:r>
                                <w:rPr>
                                  <w:rFonts w:hint="eastAsia"/>
                                  <w:color w:val="505050"/>
                                  <w:sz w:val="21"/>
                                  <w:szCs w:val="21"/>
                                </w:rPr>
                                <w:br/>
                                <w:t>【詳細ページ】go.pardot.com/l/71212/2023-09-21/</w:t>
                              </w:r>
                              <w:proofErr w:type="spellStart"/>
                              <w:r>
                                <w:rPr>
                                  <w:rFonts w:hint="eastAsia"/>
                                  <w:color w:val="505050"/>
                                  <w:sz w:val="21"/>
                                  <w:szCs w:val="21"/>
                                </w:rPr>
                                <w:t>cdmqwk</w:t>
                              </w:r>
                              <w:proofErr w:type="spellEnd"/>
                              <w:r>
                                <w:rPr>
                                  <w:rFonts w:hint="eastAsia"/>
                                  <w:color w:val="505050"/>
                                  <w:sz w:val="21"/>
                                  <w:szCs w:val="21"/>
                                </w:rPr>
                                <w:t xml:space="preserve"> </w:t>
                              </w:r>
                            </w:p>
                            <w:p w14:paraId="73204689" w14:textId="77777777" w:rsidR="009161A8" w:rsidRDefault="009161A8">
                              <w:pPr>
                                <w:spacing w:line="360" w:lineRule="atLeast"/>
                                <w:jc w:val="center"/>
                                <w:rPr>
                                  <w:rFonts w:hint="eastAsia"/>
                                  <w:color w:val="505050"/>
                                  <w:sz w:val="21"/>
                                  <w:szCs w:val="21"/>
                                </w:rPr>
                              </w:pPr>
                              <w:r>
                                <w:rPr>
                                  <w:rFonts w:hint="eastAsia"/>
                                  <w:color w:val="505050"/>
                                  <w:sz w:val="21"/>
                                  <w:szCs w:val="21"/>
                                </w:rPr>
                                <w:pict w14:anchorId="7F35B1E4">
                                  <v:rect id="_x0000_i1033" style="width:441.9pt;height:1.5pt" o:hralign="center" o:hrstd="t" o:hr="t" fillcolor="#a0a0a0" stroked="f">
                                    <v:textbox inset="5.85pt,.7pt,5.85pt,.7pt"/>
                                  </v:rect>
                                </w:pict>
                              </w:r>
                            </w:p>
                            <w:p w14:paraId="383ED95A" w14:textId="77777777" w:rsidR="009161A8" w:rsidRDefault="009161A8">
                              <w:pPr>
                                <w:spacing w:line="360" w:lineRule="atLeast"/>
                                <w:rPr>
                                  <w:rFonts w:hint="eastAsia"/>
                                  <w:color w:val="505050"/>
                                  <w:sz w:val="21"/>
                                  <w:szCs w:val="21"/>
                                </w:rPr>
                              </w:pPr>
                              <w:r>
                                <w:rPr>
                                  <w:rStyle w:val="a4"/>
                                  <w:rFonts w:hint="eastAsia"/>
                                  <w:color w:val="505050"/>
                                  <w:sz w:val="21"/>
                                  <w:szCs w:val="21"/>
                                </w:rPr>
                                <w:t>◆ 事業承継を成功に導く！事業承継信託のポイント解説セミナー （経営層向け）</w:t>
                              </w:r>
                              <w:r>
                                <w:rPr>
                                  <w:rFonts w:hint="eastAsia"/>
                                  <w:color w:val="505050"/>
                                  <w:sz w:val="21"/>
                                  <w:szCs w:val="21"/>
                                </w:rPr>
                                <w:br/>
                                <w:t>・日程：11月22日 (水) 15:00～15:45　(締切 11月20日 (月) 13:00)</w:t>
                              </w:r>
                              <w:r>
                                <w:rPr>
                                  <w:rFonts w:hint="eastAsia"/>
                                  <w:color w:val="505050"/>
                                  <w:sz w:val="21"/>
                                  <w:szCs w:val="21"/>
                                </w:rPr>
                                <w:br/>
                                <w:t>・講師：一般社団法人 事業承継信託推進協会</w:t>
                              </w:r>
                              <w:r>
                                <w:rPr>
                                  <w:rFonts w:hint="eastAsia"/>
                                  <w:color w:val="505050"/>
                                  <w:sz w:val="21"/>
                                  <w:szCs w:val="21"/>
                                </w:rPr>
                                <w:br/>
                              </w:r>
                              <w:hyperlink r:id="rId13" w:history="1">
                                <w:r>
                                  <w:rPr>
                                    <w:rStyle w:val="a3"/>
                                    <w:rFonts w:hint="eastAsia"/>
                                    <w:sz w:val="21"/>
                                    <w:szCs w:val="21"/>
                                  </w:rPr>
                                  <w:t>◆詳細はこちら◆</w:t>
                                </w:r>
                              </w:hyperlink>
                              <w:r>
                                <w:rPr>
                                  <w:rFonts w:hint="eastAsia"/>
                                  <w:color w:val="505050"/>
                                  <w:sz w:val="21"/>
                                  <w:szCs w:val="21"/>
                                </w:rPr>
                                <w:br/>
                                <w:t xml:space="preserve">【詳細ページ】go.pardot.com/l/71212/2023-09-22/cdmqy2 </w:t>
                              </w:r>
                            </w:p>
                            <w:p w14:paraId="5E25149B" w14:textId="77777777" w:rsidR="009161A8" w:rsidRDefault="009161A8">
                              <w:pPr>
                                <w:spacing w:line="360" w:lineRule="atLeast"/>
                                <w:jc w:val="center"/>
                                <w:rPr>
                                  <w:rFonts w:hint="eastAsia"/>
                                  <w:color w:val="505050"/>
                                  <w:sz w:val="21"/>
                                  <w:szCs w:val="21"/>
                                </w:rPr>
                              </w:pPr>
                              <w:r>
                                <w:rPr>
                                  <w:rFonts w:hint="eastAsia"/>
                                  <w:color w:val="505050"/>
                                  <w:sz w:val="21"/>
                                  <w:szCs w:val="21"/>
                                </w:rPr>
                                <w:lastRenderedPageBreak/>
                                <w:pict w14:anchorId="49F67482">
                                  <v:rect id="_x0000_i1034" style="width:441.9pt;height:1.5pt" o:hralign="center" o:hrstd="t" o:hr="t" fillcolor="#a0a0a0" stroked="f">
                                    <v:textbox inset="5.85pt,.7pt,5.85pt,.7pt"/>
                                  </v:rect>
                                </w:pict>
                              </w:r>
                            </w:p>
                            <w:p w14:paraId="4F946004" w14:textId="77777777" w:rsidR="009161A8" w:rsidRDefault="009161A8">
                              <w:pPr>
                                <w:spacing w:line="360" w:lineRule="atLeast"/>
                                <w:rPr>
                                  <w:rFonts w:hint="eastAsia"/>
                                  <w:color w:val="505050"/>
                                  <w:sz w:val="21"/>
                                  <w:szCs w:val="21"/>
                                </w:rPr>
                              </w:pPr>
                              <w:r>
                                <w:rPr>
                                  <w:rFonts w:hint="eastAsia"/>
                                  <w:color w:val="505050"/>
                                  <w:sz w:val="21"/>
                                  <w:szCs w:val="21"/>
                                </w:rPr>
                                <w:br/>
                                <w:t>P.S.キヤノンS&amp;Sでは</w:t>
                              </w:r>
                              <w:r>
                                <w:rPr>
                                  <w:rFonts w:hint="eastAsia"/>
                                  <w:color w:val="505050"/>
                                  <w:sz w:val="21"/>
                                  <w:szCs w:val="21"/>
                                </w:rPr>
                                <w:br/>
                                <w:t>①管理部門②情報システム部門③営業・販促部門④経営層⑤特定業種の</w:t>
                              </w:r>
                              <w:r>
                                <w:rPr>
                                  <w:rFonts w:hint="eastAsia"/>
                                  <w:color w:val="505050"/>
                                  <w:sz w:val="21"/>
                                  <w:szCs w:val="21"/>
                                </w:rPr>
                                <w:br/>
                                <w:t>5つのカテゴリーに分けて定期的にオンラインセミナーを開催しています。</w:t>
                              </w:r>
                              <w:r>
                                <w:rPr>
                                  <w:rFonts w:hint="eastAsia"/>
                                  <w:color w:val="505050"/>
                                  <w:sz w:val="21"/>
                                  <w:szCs w:val="21"/>
                                </w:rPr>
                                <w:br/>
                                <w:t> </w:t>
                              </w:r>
                              <w:hyperlink r:id="rId14" w:history="1">
                                <w:r>
                                  <w:rPr>
                                    <w:rStyle w:val="a3"/>
                                    <w:rFonts w:hint="eastAsia"/>
                                    <w:sz w:val="21"/>
                                    <w:szCs w:val="21"/>
                                  </w:rPr>
                                  <w:t>◆セミナー番組表一覧◆</w:t>
                                </w:r>
                              </w:hyperlink>
                              <w:r>
                                <w:rPr>
                                  <w:rFonts w:hint="eastAsia"/>
                                  <w:color w:val="505050"/>
                                  <w:sz w:val="21"/>
                                  <w:szCs w:val="21"/>
                                </w:rPr>
                                <w:br/>
                                <w:t>【詳細ページ】canon.jp/business/solution/</w:t>
                              </w:r>
                              <w:proofErr w:type="spellStart"/>
                              <w:r>
                                <w:rPr>
                                  <w:rFonts w:hint="eastAsia"/>
                                  <w:color w:val="505050"/>
                                  <w:sz w:val="21"/>
                                  <w:szCs w:val="21"/>
                                </w:rPr>
                                <w:t>smb</w:t>
                              </w:r>
                              <w:proofErr w:type="spellEnd"/>
                              <w:r>
                                <w:rPr>
                                  <w:rFonts w:hint="eastAsia"/>
                                  <w:color w:val="505050"/>
                                  <w:sz w:val="21"/>
                                  <w:szCs w:val="21"/>
                                </w:rPr>
                                <w:t>/event</w:t>
                              </w:r>
                              <w:r>
                                <w:rPr>
                                  <w:rFonts w:hint="eastAsia"/>
                                  <w:color w:val="505050"/>
                                  <w:sz w:val="21"/>
                                  <w:szCs w:val="21"/>
                                </w:rPr>
                                <w:br/>
                              </w:r>
                              <w:r>
                                <w:rPr>
                                  <w:rFonts w:hint="eastAsia"/>
                                  <w:color w:val="505050"/>
                                  <w:sz w:val="21"/>
                                  <w:szCs w:val="21"/>
                                </w:rPr>
                                <w:br/>
                                <w:t>ご不明な点はお気軽にお問合せください。</w:t>
                              </w:r>
                              <w:r>
                                <w:rPr>
                                  <w:rFonts w:hint="eastAsia"/>
                                  <w:color w:val="505050"/>
                                  <w:sz w:val="21"/>
                                  <w:szCs w:val="21"/>
                                </w:rPr>
                                <w:br/>
                                <w:t>最後までお読みいただき有難うございます。</w:t>
                              </w:r>
                              <w:r>
                                <w:rPr>
                                  <w:rFonts w:hint="eastAsia"/>
                                  <w:color w:val="505050"/>
                                  <w:sz w:val="21"/>
                                  <w:szCs w:val="21"/>
                                </w:rPr>
                                <w:br/>
                              </w:r>
                              <w:r>
                                <w:rPr>
                                  <w:rFonts w:hint="eastAsia"/>
                                  <w:color w:val="505050"/>
                                  <w:sz w:val="21"/>
                                  <w:szCs w:val="21"/>
                                </w:rPr>
                                <w:br/>
                                <w:t>■□■━━━━━━━━━━━━━━━━━━━━━━━━━━</w:t>
                              </w:r>
                              <w:r>
                                <w:rPr>
                                  <w:rFonts w:hint="eastAsia"/>
                                  <w:color w:val="505050"/>
                                  <w:sz w:val="21"/>
                                  <w:szCs w:val="21"/>
                                </w:rPr>
                                <w:br/>
                                <w:t xml:space="preserve">　キヤノンシステムアンドサポート株式会社</w:t>
                              </w:r>
                              <w:r>
                                <w:rPr>
                                  <w:rFonts w:hint="eastAsia"/>
                                  <w:color w:val="505050"/>
                                  <w:sz w:val="21"/>
                                  <w:szCs w:val="21"/>
                                </w:rPr>
                                <w:br/>
                                <w:t xml:space="preserve">　オンラインセミナー事務局</w:t>
                              </w:r>
                              <w:r>
                                <w:rPr>
                                  <w:rFonts w:hint="eastAsia"/>
                                  <w:color w:val="505050"/>
                                  <w:sz w:val="21"/>
                                  <w:szCs w:val="21"/>
                                </w:rPr>
                                <w:br/>
                                <w:t xml:space="preserve">　E-mail : </w:t>
                              </w:r>
                              <w:hyperlink r:id="rId15" w:history="1">
                                <w:r>
                                  <w:rPr>
                                    <w:rStyle w:val="a3"/>
                                    <w:rFonts w:hint="eastAsia"/>
                                    <w:sz w:val="21"/>
                                    <w:szCs w:val="21"/>
                                  </w:rPr>
                                  <w:t>smnr-online@canon-sas.co.jp</w:t>
                                </w:r>
                              </w:hyperlink>
                              <w:r>
                                <w:rPr>
                                  <w:rFonts w:hint="eastAsia"/>
                                  <w:color w:val="505050"/>
                                  <w:sz w:val="21"/>
                                  <w:szCs w:val="21"/>
                                </w:rPr>
                                <w:br/>
                                <w:t>━━━━━━━━━━━━━━━━━━━━━━━━━━□■□</w:t>
                              </w:r>
                              <w:r>
                                <w:rPr>
                                  <w:rFonts w:hint="eastAsia"/>
                                  <w:color w:val="505050"/>
                                  <w:sz w:val="21"/>
                                  <w:szCs w:val="21"/>
                                </w:rPr>
                                <w:br/>
                                <w:t> </w:t>
                              </w:r>
                            </w:p>
                          </w:tc>
                        </w:tr>
                        <w:tr w:rsidR="009161A8" w14:paraId="128F89A3" w14:textId="77777777">
                          <w:trPr>
                            <w:jc w:val="center"/>
                          </w:trPr>
                          <w:tc>
                            <w:tcPr>
                              <w:tcW w:w="0" w:type="auto"/>
                              <w:tcBorders>
                                <w:top w:val="nil"/>
                                <w:left w:val="nil"/>
                                <w:bottom w:val="single" w:sz="8" w:space="0" w:color="CCCCCC"/>
                                <w:right w:val="nil"/>
                              </w:tcBorders>
                              <w:shd w:val="clear" w:color="auto" w:fill="FFFFFF"/>
                              <w:vAlign w:val="center"/>
                              <w:hideMark/>
                            </w:tcPr>
                            <w:p w14:paraId="139D3F3C" w14:textId="77777777" w:rsidR="009161A8" w:rsidRDefault="009161A8">
                              <w:pPr>
                                <w:rPr>
                                  <w:rFonts w:hint="eastAsia"/>
                                  <w:color w:val="505050"/>
                                  <w:sz w:val="21"/>
                                  <w:szCs w:val="21"/>
                                </w:rPr>
                              </w:pPr>
                            </w:p>
                          </w:tc>
                        </w:tr>
                      </w:tbl>
                      <w:p w14:paraId="279FE578" w14:textId="77777777" w:rsidR="009161A8" w:rsidRDefault="009161A8">
                        <w:pPr>
                          <w:jc w:val="center"/>
                          <w:rPr>
                            <w:rFonts w:ascii="Times New Roman" w:hAnsi="Times New Roman" w:cs="Times New Roman"/>
                            <w:sz w:val="20"/>
                            <w:szCs w:val="20"/>
                          </w:rPr>
                        </w:pPr>
                      </w:p>
                    </w:tc>
                  </w:tr>
                  <w:tr w:rsidR="009161A8" w14:paraId="3DC164FB" w14:textId="77777777">
                    <w:trPr>
                      <w:jc w:val="center"/>
                    </w:trPr>
                    <w:tc>
                      <w:tcPr>
                        <w:tcW w:w="0" w:type="auto"/>
                        <w:tcBorders>
                          <w:top w:val="nil"/>
                          <w:left w:val="nil"/>
                          <w:bottom w:val="single" w:sz="8" w:space="0" w:color="CCCCCC"/>
                          <w:right w:val="nil"/>
                        </w:tcBorders>
                        <w:shd w:val="clear" w:color="auto" w:fill="FFFFFF"/>
                        <w:hideMark/>
                      </w:tcPr>
                      <w:tbl>
                        <w:tblPr>
                          <w:tblW w:w="5000" w:type="pct"/>
                          <w:jc w:val="center"/>
                          <w:shd w:val="clear" w:color="auto" w:fill="EDEDED"/>
                          <w:tblCellMar>
                            <w:left w:w="0" w:type="dxa"/>
                            <w:right w:w="0" w:type="dxa"/>
                          </w:tblCellMar>
                          <w:tblLook w:val="04A0" w:firstRow="1" w:lastRow="0" w:firstColumn="1" w:lastColumn="0" w:noHBand="0" w:noVBand="1"/>
                        </w:tblPr>
                        <w:tblGrid>
                          <w:gridCol w:w="8980"/>
                        </w:tblGrid>
                        <w:tr w:rsidR="009161A8" w14:paraId="1ABD0F74" w14:textId="77777777">
                          <w:trPr>
                            <w:jc w:val="center"/>
                          </w:trPr>
                          <w:tc>
                            <w:tcPr>
                              <w:tcW w:w="0" w:type="auto"/>
                              <w:tcBorders>
                                <w:top w:val="single" w:sz="8" w:space="0" w:color="FFFFFF"/>
                                <w:left w:val="nil"/>
                                <w:bottom w:val="single" w:sz="8" w:space="0" w:color="CCCCCC"/>
                                <w:right w:val="nil"/>
                              </w:tcBorders>
                              <w:shd w:val="clear" w:color="auto" w:fill="EDEDED"/>
                              <w:tcMar>
                                <w:top w:w="225" w:type="dxa"/>
                                <w:left w:w="300" w:type="dxa"/>
                                <w:bottom w:w="225" w:type="dxa"/>
                                <w:right w:w="300" w:type="dxa"/>
                              </w:tcMar>
                              <w:hideMark/>
                            </w:tcPr>
                            <w:p w14:paraId="082F542E" w14:textId="77777777" w:rsidR="009161A8" w:rsidRDefault="009161A8">
                              <w:pPr>
                                <w:spacing w:line="255" w:lineRule="atLeast"/>
                                <w:rPr>
                                  <w:color w:val="666666"/>
                                  <w:sz w:val="17"/>
                                  <w:szCs w:val="17"/>
                                </w:rPr>
                              </w:pPr>
                              <w:r>
                                <w:rPr>
                                  <w:rFonts w:hint="eastAsia"/>
                                  <w:color w:val="666666"/>
                                  <w:sz w:val="17"/>
                                  <w:szCs w:val="17"/>
                                </w:rPr>
                                <w:lastRenderedPageBreak/>
                                <w:t>このメールは、これまでにキヤノンシステムアンドサポート株式会社が出展・主催・協賛した展示会・イベント・セミナーに申し込みいただいたお客さま、資料をダウンロードいただいたお客さま、お問い合わせいただいたお客さま、名刺交換をさせていただいたお客さま、メール配信サービスを申し込みいただいたお客さま、メールでの情報提供についてご承諾いただきましたお客さまへお送りしております。</w:t>
                              </w:r>
                              <w:r>
                                <w:rPr>
                                  <w:rFonts w:hint="eastAsia"/>
                                  <w:color w:val="666666"/>
                                  <w:sz w:val="17"/>
                                  <w:szCs w:val="17"/>
                                </w:rPr>
                                <w:br/>
                                <w:t>また、お客さまが関心を寄せられている内容に合わせ最適な情報・サービスを提供するため、お客さまの個人情報に紐づけてウェブアクセス履歴を取得しています。</w:t>
                              </w:r>
                              <w:r>
                                <w:rPr>
                                  <w:rFonts w:hint="eastAsia"/>
                                  <w:color w:val="666666"/>
                                  <w:sz w:val="17"/>
                                  <w:szCs w:val="17"/>
                                </w:rPr>
                                <w:br/>
                                <w:t>配信停止をご希望のお客さまは、お手数ですが下記よりお手続きをお願いいたします。</w:t>
                              </w:r>
                            </w:p>
                          </w:tc>
                        </w:tr>
                        <w:tr w:rsidR="009161A8" w14:paraId="2F2CCD26" w14:textId="77777777">
                          <w:trPr>
                            <w:jc w:val="center"/>
                          </w:trPr>
                          <w:tc>
                            <w:tcPr>
                              <w:tcW w:w="0" w:type="auto"/>
                              <w:shd w:val="clear" w:color="auto" w:fill="EDEDED"/>
                              <w:tcMar>
                                <w:top w:w="225" w:type="dxa"/>
                                <w:left w:w="300" w:type="dxa"/>
                                <w:bottom w:w="225" w:type="dxa"/>
                                <w:right w:w="300" w:type="dxa"/>
                              </w:tcMar>
                              <w:hideMark/>
                            </w:tcPr>
                            <w:p w14:paraId="62068518" w14:textId="77777777" w:rsidR="009161A8" w:rsidRDefault="009161A8">
                              <w:pPr>
                                <w:spacing w:line="330" w:lineRule="atLeast"/>
                                <w:rPr>
                                  <w:rFonts w:hint="eastAsia"/>
                                  <w:color w:val="333333"/>
                                  <w:sz w:val="18"/>
                                  <w:szCs w:val="18"/>
                                </w:rPr>
                              </w:pPr>
                              <w:r>
                                <w:rPr>
                                  <w:rFonts w:hint="eastAsia"/>
                                  <w:color w:val="333333"/>
                                  <w:sz w:val="18"/>
                                  <w:szCs w:val="18"/>
                                </w:rPr>
                                <w:t>● メールの配信停止等の手続きは、</w:t>
                              </w:r>
                              <w:hyperlink r:id="rId16" w:tgtFrame="_blank" w:tooltip="メール配信手続き" w:history="1">
                                <w:r>
                                  <w:rPr>
                                    <w:rStyle w:val="a3"/>
                                    <w:rFonts w:hint="eastAsia"/>
                                    <w:sz w:val="18"/>
                                    <w:szCs w:val="18"/>
                                  </w:rPr>
                                  <w:t>こちら</w:t>
                                </w:r>
                              </w:hyperlink>
                              <w:r>
                                <w:rPr>
                                  <w:rFonts w:hint="eastAsia"/>
                                  <w:color w:val="333333"/>
                                  <w:sz w:val="18"/>
                                  <w:szCs w:val="18"/>
                                </w:rPr>
                                <w:t>をクリックしてください。</w:t>
                              </w:r>
                              <w:r>
                                <w:rPr>
                                  <w:rFonts w:hint="eastAsia"/>
                                  <w:color w:val="333333"/>
                                  <w:sz w:val="18"/>
                                  <w:szCs w:val="18"/>
                                </w:rPr>
                                <w:br/>
                                <w:t>※上記でアクセスできない場合、以下URLをブラウザにコピー＆ペーストしてご覧ください。</w:t>
                              </w:r>
                              <w:r>
                                <w:rPr>
                                  <w:rFonts w:hint="eastAsia"/>
                                  <w:color w:val="333333"/>
                                  <w:sz w:val="18"/>
                                  <w:szCs w:val="18"/>
                                </w:rPr>
                                <w:br/>
                                <w:t>go.pardot.com/l/71212/2021-12-20/9z1t78</w:t>
                              </w:r>
                            </w:p>
                          </w:tc>
                        </w:tr>
                        <w:tr w:rsidR="009161A8" w14:paraId="42409D28" w14:textId="77777777">
                          <w:trPr>
                            <w:jc w:val="center"/>
                          </w:trPr>
                          <w:tc>
                            <w:tcPr>
                              <w:tcW w:w="0" w:type="auto"/>
                              <w:shd w:val="clear" w:color="auto" w:fill="EDEDED"/>
                              <w:tcMar>
                                <w:top w:w="0" w:type="dxa"/>
                                <w:left w:w="300" w:type="dxa"/>
                                <w:bottom w:w="300" w:type="dxa"/>
                                <w:right w:w="300" w:type="dxa"/>
                              </w:tcMar>
                              <w:hideMark/>
                            </w:tcPr>
                            <w:p w14:paraId="64C70611" w14:textId="77777777" w:rsidR="009161A8" w:rsidRDefault="009161A8">
                              <w:pPr>
                                <w:spacing w:line="270" w:lineRule="atLeast"/>
                                <w:rPr>
                                  <w:rFonts w:hint="eastAsia"/>
                                  <w:color w:val="333333"/>
                                  <w:sz w:val="18"/>
                                  <w:szCs w:val="18"/>
                                </w:rPr>
                              </w:pPr>
                              <w:r>
                                <w:rPr>
                                  <w:rStyle w:val="a4"/>
                                  <w:rFonts w:hint="eastAsia"/>
                                  <w:color w:val="333333"/>
                                  <w:sz w:val="18"/>
                                  <w:szCs w:val="18"/>
                                </w:rPr>
                                <w:t>【 個人情報の取扱いについて】</w:t>
                              </w:r>
                              <w:r>
                                <w:rPr>
                                  <w:rFonts w:hint="eastAsia"/>
                                  <w:color w:val="333333"/>
                                  <w:sz w:val="18"/>
                                  <w:szCs w:val="18"/>
                                </w:rPr>
                                <w:br/>
                                <w:t>キヤノンシステムアンドサポート株式会社の個人情報保護方針については、</w:t>
                              </w:r>
                              <w:hyperlink r:id="rId17" w:tgtFrame="_blank" w:tooltip="個人情報保護方針" w:history="1">
                                <w:r>
                                  <w:rPr>
                                    <w:rStyle w:val="a3"/>
                                    <w:rFonts w:hint="eastAsia"/>
                                    <w:sz w:val="18"/>
                                    <w:szCs w:val="18"/>
                                  </w:rPr>
                                  <w:t>ホームページ</w:t>
                                </w:r>
                              </w:hyperlink>
                              <w:r>
                                <w:rPr>
                                  <w:rFonts w:hint="eastAsia"/>
                                  <w:color w:val="333333"/>
                                  <w:sz w:val="18"/>
                                  <w:szCs w:val="18"/>
                                </w:rPr>
                                <w:t>をご覧ください。</w:t>
                              </w:r>
                              <w:r>
                                <w:rPr>
                                  <w:rFonts w:hint="eastAsia"/>
                                  <w:color w:val="333333"/>
                                  <w:sz w:val="18"/>
                                  <w:szCs w:val="18"/>
                                </w:rPr>
                                <w:br/>
                                <w:t>※上記でアクセスできない場合、以下URLをブラウザにコピー＆ペーストしてご覧ください。</w:t>
                              </w:r>
                              <w:r>
                                <w:rPr>
                                  <w:rFonts w:hint="eastAsia"/>
                                  <w:color w:val="333333"/>
                                  <w:sz w:val="18"/>
                                  <w:szCs w:val="18"/>
                                </w:rPr>
                                <w:br/>
                              </w:r>
                              <w:r>
                                <w:rPr>
                                  <w:rFonts w:hint="eastAsia"/>
                                  <w:color w:val="333333"/>
                                  <w:sz w:val="18"/>
                                  <w:szCs w:val="18"/>
                                </w:rPr>
                                <w:lastRenderedPageBreak/>
                                <w:t>go.pardot.com/l/71212/2021-12-20/9z1t7b</w:t>
                              </w:r>
                              <w:r>
                                <w:rPr>
                                  <w:rFonts w:hint="eastAsia"/>
                                  <w:color w:val="333333"/>
                                  <w:sz w:val="18"/>
                                  <w:szCs w:val="18"/>
                                </w:rPr>
                                <w:br/>
                                <w:t> </w:t>
                              </w:r>
                            </w:p>
                          </w:tc>
                        </w:tr>
                        <w:tr w:rsidR="009161A8" w14:paraId="185A2EAE" w14:textId="77777777">
                          <w:trPr>
                            <w:jc w:val="center"/>
                          </w:trPr>
                          <w:tc>
                            <w:tcPr>
                              <w:tcW w:w="0" w:type="auto"/>
                              <w:shd w:val="clear" w:color="auto" w:fill="EDEDED"/>
                              <w:tcMar>
                                <w:top w:w="150" w:type="dxa"/>
                                <w:left w:w="300" w:type="dxa"/>
                                <w:bottom w:w="300" w:type="dxa"/>
                                <w:right w:w="300" w:type="dxa"/>
                              </w:tcMar>
                              <w:hideMark/>
                            </w:tcPr>
                            <w:p w14:paraId="43D9DF59" w14:textId="77777777" w:rsidR="009161A8" w:rsidRDefault="009161A8">
                              <w:pPr>
                                <w:spacing w:line="255" w:lineRule="atLeast"/>
                                <w:rPr>
                                  <w:rFonts w:hint="eastAsia"/>
                                  <w:color w:val="666666"/>
                                  <w:sz w:val="17"/>
                                  <w:szCs w:val="17"/>
                                </w:rPr>
                              </w:pPr>
                              <w:r>
                                <w:rPr>
                                  <w:rStyle w:val="a5"/>
                                  <w:rFonts w:hint="eastAsia"/>
                                  <w:i w:val="0"/>
                                  <w:iCs w:val="0"/>
                                  <w:color w:val="666666"/>
                                  <w:sz w:val="17"/>
                                  <w:szCs w:val="17"/>
                                </w:rPr>
                                <w:lastRenderedPageBreak/>
                                <w:t>発行元 ／ キヤノンシステムアンドサポート株式会社 オンラインセミナー事務局</w:t>
                              </w:r>
                            </w:p>
                          </w:tc>
                        </w:tr>
                      </w:tbl>
                      <w:p w14:paraId="56BD786A" w14:textId="77777777" w:rsidR="009161A8" w:rsidRDefault="009161A8">
                        <w:pPr>
                          <w:jc w:val="center"/>
                          <w:rPr>
                            <w:rFonts w:ascii="Times New Roman" w:hAnsi="Times New Roman" w:cs="Times New Roman" w:hint="eastAsia"/>
                            <w:sz w:val="20"/>
                            <w:szCs w:val="20"/>
                          </w:rPr>
                        </w:pPr>
                      </w:p>
                    </w:tc>
                  </w:tr>
                </w:tbl>
                <w:p w14:paraId="3F4BCF4B" w14:textId="77777777" w:rsidR="009161A8" w:rsidRDefault="009161A8">
                  <w:pPr>
                    <w:jc w:val="center"/>
                    <w:rPr>
                      <w:rFonts w:ascii="Times New Roman" w:hAnsi="Times New Roman" w:cs="Times New Roman"/>
                      <w:sz w:val="20"/>
                      <w:szCs w:val="20"/>
                    </w:rPr>
                  </w:pPr>
                </w:p>
              </w:tc>
            </w:tr>
          </w:tbl>
          <w:p w14:paraId="2261F65B" w14:textId="77777777" w:rsidR="009161A8" w:rsidRDefault="009161A8">
            <w:pPr>
              <w:jc w:val="center"/>
            </w:pPr>
          </w:p>
        </w:tc>
      </w:tr>
    </w:tbl>
    <w:p w14:paraId="62C4BE5B" w14:textId="77777777" w:rsidR="00E678FB" w:rsidRDefault="00E678FB"/>
    <w:sectPr w:rsidR="00E678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A8"/>
    <w:rsid w:val="009161A8"/>
    <w:rsid w:val="00E6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3F762"/>
  <w15:chartTrackingRefBased/>
  <w15:docId w15:val="{A13F46F4-E75D-4A13-A020-6DBEAE38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1A8"/>
    <w:rPr>
      <w:rFonts w:ascii="ＭＳ Ｐゴシック" w:eastAsia="ＭＳ Ｐゴシック" w:hAnsi="ＭＳ Ｐゴシック" w:cs="ＭＳ Ｐゴシック"/>
      <w:kern w:val="0"/>
      <w:sz w:val="24"/>
      <w:szCs w:val="24"/>
    </w:rPr>
  </w:style>
  <w:style w:type="paragraph" w:styleId="1">
    <w:name w:val="heading 1"/>
    <w:basedOn w:val="a"/>
    <w:link w:val="10"/>
    <w:uiPriority w:val="9"/>
    <w:qFormat/>
    <w:rsid w:val="009161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61A8"/>
    <w:rPr>
      <w:rFonts w:ascii="ＭＳ Ｐゴシック" w:eastAsia="ＭＳ Ｐゴシック" w:hAnsi="ＭＳ Ｐゴシック" w:cs="ＭＳ Ｐゴシック"/>
      <w:b/>
      <w:bCs/>
      <w:kern w:val="36"/>
      <w:sz w:val="48"/>
      <w:szCs w:val="48"/>
    </w:rPr>
  </w:style>
  <w:style w:type="character" w:styleId="a3">
    <w:name w:val="Hyperlink"/>
    <w:basedOn w:val="a0"/>
    <w:uiPriority w:val="99"/>
    <w:semiHidden/>
    <w:unhideWhenUsed/>
    <w:rsid w:val="009161A8"/>
    <w:rPr>
      <w:color w:val="0000FF"/>
      <w:u w:val="single"/>
    </w:rPr>
  </w:style>
  <w:style w:type="character" w:styleId="a4">
    <w:name w:val="Strong"/>
    <w:basedOn w:val="a0"/>
    <w:uiPriority w:val="22"/>
    <w:qFormat/>
    <w:rsid w:val="009161A8"/>
    <w:rPr>
      <w:b/>
      <w:bCs/>
    </w:rPr>
  </w:style>
  <w:style w:type="character" w:styleId="a5">
    <w:name w:val="Emphasis"/>
    <w:basedOn w:val="a0"/>
    <w:uiPriority w:val="20"/>
    <w:qFormat/>
    <w:rsid w:val="00916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t2.canon.jp/e/71212/l-71212-2023-09-21-cdmqw5/cf5fzn/1445569216/h/3dID2TCJFP3-AUZgcAB-OACXIxxfz_rXzuujFuNYOis" TargetMode="External"/><Relationship Id="rId13" Type="http://schemas.openxmlformats.org/officeDocument/2006/relationships/hyperlink" Target="https://dmt2.canon.jp/e/71212/l-71212-2023-09-22-cdmqy2/cf5g15/1445569216/h/3dID2TCJFP3-AUZgcAB-OACXIxxfz_rXzuujFuNYOi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mt2.canon.jp/e/71212/l-71212-2023-09-21-cdmqvy/cf5fzk/1445569216/h/3dID2TCJFP3-AUZgcAB-OACXIxxfz_rXzuujFuNYOis" TargetMode="External"/><Relationship Id="rId12" Type="http://schemas.openxmlformats.org/officeDocument/2006/relationships/hyperlink" Target="https://dmt2.canon.jp/e/71212/l-71212-2023-09-21-cdmqwk/cf5g12/1445569216/h/3dID2TCJFP3-AUZgcAB-OACXIxxfz_rXzuujFuNYOis" TargetMode="External"/><Relationship Id="rId17" Type="http://schemas.openxmlformats.org/officeDocument/2006/relationships/hyperlink" Target="https://dmt2.canon.jp/e/71212/l-71212-2021-12-20-9z1t7b/cf5g18/1445569216/h/3dID2TCJFP3-AUZgcAB-OACXIxxfz_rXzuujFuNYOis" TargetMode="External"/><Relationship Id="rId2" Type="http://schemas.openxmlformats.org/officeDocument/2006/relationships/settings" Target="settings.xml"/><Relationship Id="rId16" Type="http://schemas.openxmlformats.org/officeDocument/2006/relationships/hyperlink" Target="https://dmt2.canon.jp/emailPreference/e/epc/71212/yMV71A9IIf1wgVG1UKDW76o6sIEMHwAGK2kXB4cDAZs/693/23407012bada05a9ba77b747e08592207c7b460137ce26ee66d88574692c45a6/1445569216" TargetMode="External"/><Relationship Id="rId1" Type="http://schemas.openxmlformats.org/officeDocument/2006/relationships/styles" Target="styles.xml"/><Relationship Id="rId6" Type="http://schemas.openxmlformats.org/officeDocument/2006/relationships/hyperlink" Target="https://dmt2.canon.jp/e/71212/l-71212-2023-09-21-cdmqvg/cf5fzg/1445569216/h/3dID2TCJFP3-AUZgcAB-OACXIxxfz_rXzuujFuNYOis" TargetMode="External"/><Relationship Id="rId11" Type="http://schemas.openxmlformats.org/officeDocument/2006/relationships/hyperlink" Target="https://dmt2.canon.jp/e/71212/l-71212-2023-09-21-cdmqwg/cf5fzy/1445569216/h/3dID2TCJFP3-AUZgcAB-OACXIxxfz_rXzuujFuNYOis" TargetMode="External"/><Relationship Id="rId5" Type="http://schemas.openxmlformats.org/officeDocument/2006/relationships/hyperlink" Target="https://dmt2.canon.jp/e/71212/business-solution-smb-event/cf5fzc/1445569216/h/3dID2TCJFP3-AUZgcAB-OACXIxxfz_rXzuujFuNYOis" TargetMode="External"/><Relationship Id="rId15" Type="http://schemas.openxmlformats.org/officeDocument/2006/relationships/hyperlink" Target="mailto:smnr-online@canon-sas.co.jp" TargetMode="External"/><Relationship Id="rId10" Type="http://schemas.openxmlformats.org/officeDocument/2006/relationships/hyperlink" Target="https://dmt2.canon.jp/e/71212/l-71212-2023-09-21-cdmqwc/cf5fzv/1445569216/h/3dID2TCJFP3-AUZgcAB-OACXIxxfz_rXzuujFuNYOi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dmt2.canon.jp/e/71212/l-71212-2023-09-21-cdmqw8/cf5fzr/1445569216/h/3dID2TCJFP3-AUZgcAB-OACXIxxfz_rXzuujFuNYOis" TargetMode="External"/><Relationship Id="rId14" Type="http://schemas.openxmlformats.org/officeDocument/2006/relationships/hyperlink" Target="https://dmt2.canon.jp/e/71212/business-solution-smb-event/cf5fzc/1445569216/h/3dID2TCJFP3-AUZgcAB-OACXIxxfz_rXzuujFuNYOi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nakamura</dc:creator>
  <cp:keywords/>
  <dc:description/>
  <cp:lastModifiedBy>yuko nakamura</cp:lastModifiedBy>
  <cp:revision>1</cp:revision>
  <dcterms:created xsi:type="dcterms:W3CDTF">2023-10-10T05:46:00Z</dcterms:created>
  <dcterms:modified xsi:type="dcterms:W3CDTF">2023-10-10T05:47:00Z</dcterms:modified>
</cp:coreProperties>
</file>